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B759" w14:textId="77777777" w:rsidR="000D38DC" w:rsidRPr="007E6394" w:rsidRDefault="007E6394" w:rsidP="007E6394">
      <w:pPr>
        <w:jc w:val="center"/>
        <w:rPr>
          <w:b/>
          <w:sz w:val="32"/>
          <w:szCs w:val="32"/>
        </w:rPr>
      </w:pPr>
      <w:r w:rsidRPr="007E6394">
        <w:rPr>
          <w:b/>
          <w:sz w:val="32"/>
          <w:szCs w:val="32"/>
        </w:rPr>
        <w:t>Menard County</w:t>
      </w:r>
    </w:p>
    <w:p w14:paraId="2BB6B75A" w14:textId="35848D9F" w:rsidR="00F734FB" w:rsidRDefault="007E6394" w:rsidP="00F734FB">
      <w:pPr>
        <w:jc w:val="center"/>
      </w:pPr>
      <w:r>
        <w:t>Treasurer’s Fin</w:t>
      </w:r>
      <w:r w:rsidR="00AA1AA6">
        <w:t xml:space="preserve">ancial Report as of </w:t>
      </w:r>
      <w:r w:rsidR="00446B43">
        <w:t>February 28, 2021</w:t>
      </w:r>
    </w:p>
    <w:p w14:paraId="2BB6B75B" w14:textId="19A52BDE" w:rsidR="00C4538E" w:rsidRDefault="00C4538E" w:rsidP="00C4538E">
      <w:pPr>
        <w:contextualSpacing/>
        <w:rPr>
          <w:u w:val="single"/>
        </w:rPr>
      </w:pPr>
      <w:r w:rsidRPr="007E6394">
        <w:rPr>
          <w:u w:val="single"/>
        </w:rPr>
        <w:t>Treasurer’s Financial Analysis</w:t>
      </w:r>
    </w:p>
    <w:p w14:paraId="70909C71" w14:textId="590799B9" w:rsidR="006C6958" w:rsidRPr="006C6958" w:rsidRDefault="006C6958" w:rsidP="00C4538E">
      <w:pPr>
        <w:contextualSpacing/>
        <w:rPr>
          <w:b/>
          <w:bCs/>
        </w:rPr>
      </w:pPr>
      <w:r w:rsidRPr="006C6958">
        <w:rPr>
          <w:b/>
          <w:bCs/>
        </w:rPr>
        <w:t>General Fund</w:t>
      </w:r>
    </w:p>
    <w:p w14:paraId="1552F77B" w14:textId="4555136E" w:rsidR="00B71F64" w:rsidRDefault="00AA1AA6" w:rsidP="007E6394">
      <w:pPr>
        <w:contextualSpacing/>
      </w:pPr>
      <w:r>
        <w:t xml:space="preserve">This month’s Specified Activity Report </w:t>
      </w:r>
      <w:r w:rsidR="00B71F64">
        <w:t>reflects investments of $</w:t>
      </w:r>
      <w:r w:rsidR="00446B43">
        <w:t>800,000</w:t>
      </w:r>
      <w:r w:rsidR="00B71F64">
        <w:t xml:space="preserve"> and an </w:t>
      </w:r>
      <w:r w:rsidR="00716DFE">
        <w:t>all-fund</w:t>
      </w:r>
      <w:r w:rsidR="00B71F64">
        <w:t xml:space="preserve"> cash balance of $</w:t>
      </w:r>
      <w:r w:rsidR="00111234">
        <w:t>182,169.28</w:t>
      </w:r>
      <w:r w:rsidR="00B71F64">
        <w:t>.  The County continues to operate within a total cash available principle with deficit balances in the General Fund,</w:t>
      </w:r>
      <w:r w:rsidR="00446B43">
        <w:t xml:space="preserve"> and the Debt Service Fund</w:t>
      </w:r>
      <w:r w:rsidR="00762AA9">
        <w:t>.</w:t>
      </w:r>
      <w:r w:rsidR="00B71F64">
        <w:t xml:space="preserve">  </w:t>
      </w:r>
      <w:r>
        <w:t xml:space="preserve">This </w:t>
      </w:r>
      <w:r w:rsidR="00762AA9">
        <w:t xml:space="preserve">month’s </w:t>
      </w:r>
      <w:r w:rsidR="00446B43">
        <w:t xml:space="preserve">Specified Activity Report </w:t>
      </w:r>
      <w:r w:rsidR="00762AA9">
        <w:t>includes</w:t>
      </w:r>
      <w:r>
        <w:t xml:space="preserve"> </w:t>
      </w:r>
      <w:r w:rsidR="00762AA9">
        <w:t>cash collections</w:t>
      </w:r>
      <w:r>
        <w:t xml:space="preserve"> of $</w:t>
      </w:r>
      <w:r w:rsidR="00446B43">
        <w:t>4</w:t>
      </w:r>
      <w:r w:rsidR="00111234">
        <w:t>12897</w:t>
      </w:r>
      <w:r w:rsidR="00B71F64">
        <w:t xml:space="preserve"> and </w:t>
      </w:r>
      <w:r w:rsidR="00762AA9">
        <w:t xml:space="preserve">disbursements </w:t>
      </w:r>
      <w:r w:rsidR="00B71F64">
        <w:t>of $</w:t>
      </w:r>
      <w:r w:rsidR="00446B43">
        <w:t>3</w:t>
      </w:r>
      <w:r w:rsidR="00111234">
        <w:t>99,736</w:t>
      </w:r>
      <w:r w:rsidR="00762AA9">
        <w:t xml:space="preserve"> of which $</w:t>
      </w:r>
      <w:r w:rsidR="00446B43">
        <w:t>12</w:t>
      </w:r>
      <w:r w:rsidR="00111234">
        <w:t>3</w:t>
      </w:r>
      <w:r w:rsidR="00446B43">
        <w:t>,617</w:t>
      </w:r>
      <w:r w:rsidR="00762AA9">
        <w:t xml:space="preserve"> is for </w:t>
      </w:r>
      <w:r w:rsidR="00446B43">
        <w:t>payment of Principal and Interest</w:t>
      </w:r>
      <w:r w:rsidR="00B71F64">
        <w:t xml:space="preserve">.  The attached Specified Activity Report displays the cash balance for each fund.  </w:t>
      </w:r>
    </w:p>
    <w:p w14:paraId="671247A6" w14:textId="43539F5E" w:rsidR="0096050A" w:rsidRDefault="0096050A" w:rsidP="007E6394">
      <w:pPr>
        <w:contextualSpacing/>
      </w:pPr>
    </w:p>
    <w:p w14:paraId="7A15C0D9" w14:textId="45890F93" w:rsidR="0096050A" w:rsidRDefault="0096050A" w:rsidP="007E6394">
      <w:pPr>
        <w:contextualSpacing/>
      </w:pPr>
      <w:r>
        <w:t>Tax Collections are</w:t>
      </w:r>
      <w:r w:rsidR="00446B43">
        <w:t xml:space="preserve"> 85% of this year’s budget as </w:t>
      </w:r>
      <w:r w:rsidR="00BE2B97">
        <w:t>compar</w:t>
      </w:r>
      <w:r w:rsidR="00446B43">
        <w:t xml:space="preserve">ed to 2020 roll collections of 88%. </w:t>
      </w:r>
      <w:r w:rsidR="00BE2B97">
        <w:t xml:space="preserve">A summary of the top </w:t>
      </w:r>
      <w:r w:rsidR="00D6193C">
        <w:t xml:space="preserve">four </w:t>
      </w:r>
      <w:r w:rsidR="00BE2B97">
        <w:t xml:space="preserve">General Fund Revenue accounts </w:t>
      </w:r>
      <w:r w:rsidR="00716DFE">
        <w:t>is</w:t>
      </w:r>
      <w:r w:rsidR="00BE2B97">
        <w:t xml:space="preserve"> displayed as follows:</w:t>
      </w:r>
    </w:p>
    <w:p w14:paraId="0750E73A" w14:textId="3E6A3B49" w:rsidR="00BE2B97" w:rsidRDefault="00BE2B97" w:rsidP="007E6394">
      <w:pPr>
        <w:contextualSpacing/>
      </w:pPr>
      <w:r>
        <w:tab/>
      </w:r>
      <w:r>
        <w:tab/>
      </w:r>
      <w:r>
        <w:tab/>
      </w:r>
      <w:r>
        <w:tab/>
      </w:r>
      <w:r>
        <w:tab/>
        <w:t>20</w:t>
      </w:r>
      <w:r w:rsidR="00311AC7">
        <w:t>19-20</w:t>
      </w:r>
      <w:r>
        <w:tab/>
      </w:r>
      <w:r>
        <w:tab/>
      </w:r>
      <w:r w:rsidR="00311AC7">
        <w:tab/>
        <w:t xml:space="preserve">   </w:t>
      </w:r>
      <w:r>
        <w:t>20</w:t>
      </w:r>
      <w:r w:rsidR="00311AC7">
        <w:t>20</w:t>
      </w:r>
      <w:r>
        <w:t>-2</w:t>
      </w:r>
      <w:r w:rsidR="00311AC7">
        <w:t>1</w:t>
      </w:r>
    </w:p>
    <w:p w14:paraId="4F6C31C3" w14:textId="0DB1820D" w:rsidR="00BE2B97" w:rsidRDefault="00BE2B97" w:rsidP="007E6394">
      <w:pPr>
        <w:contextualSpacing/>
      </w:pPr>
      <w:r>
        <w:t>AD Valorem Taxes</w:t>
      </w:r>
      <w:r>
        <w:tab/>
      </w:r>
      <w:r>
        <w:tab/>
        <w:t xml:space="preserve">         $</w:t>
      </w:r>
      <w:r w:rsidR="00311AC7">
        <w:t>1,334,654</w:t>
      </w:r>
      <w:r>
        <w:tab/>
        <w:t xml:space="preserve">         </w:t>
      </w:r>
      <w:r w:rsidR="00311AC7">
        <w:tab/>
        <w:t xml:space="preserve">    </w:t>
      </w:r>
      <w:r w:rsidR="00311AC7">
        <w:tab/>
      </w:r>
      <w:r>
        <w:t>$1,</w:t>
      </w:r>
      <w:r w:rsidR="00311AC7">
        <w:t>314,397</w:t>
      </w:r>
    </w:p>
    <w:p w14:paraId="117D9393" w14:textId="19B9F36B" w:rsidR="00BE2B97" w:rsidRDefault="00BE2B97" w:rsidP="007E6394">
      <w:pPr>
        <w:contextualSpacing/>
      </w:pPr>
      <w:r>
        <w:t>JP Fees</w:t>
      </w:r>
      <w:r>
        <w:tab/>
      </w:r>
      <w:r>
        <w:tab/>
      </w:r>
      <w:r>
        <w:tab/>
        <w:t xml:space="preserve">         $  </w:t>
      </w:r>
      <w:r w:rsidR="00B776B9">
        <w:t xml:space="preserve"> </w:t>
      </w:r>
      <w:r w:rsidR="00311AC7">
        <w:t>403,294</w:t>
      </w:r>
      <w:r>
        <w:tab/>
      </w:r>
      <w:r w:rsidR="00311AC7">
        <w:tab/>
      </w:r>
      <w:r w:rsidR="00311AC7">
        <w:tab/>
      </w:r>
      <w:r>
        <w:t xml:space="preserve">$   </w:t>
      </w:r>
      <w:r w:rsidR="00311AC7">
        <w:t>244,821</w:t>
      </w:r>
    </w:p>
    <w:p w14:paraId="70C0CB14" w14:textId="6C4D431D" w:rsidR="00B71F64" w:rsidRDefault="00BE2B97" w:rsidP="007E6394">
      <w:pPr>
        <w:contextualSpacing/>
      </w:pPr>
      <w:r>
        <w:t>County Clerk Fees</w:t>
      </w:r>
      <w:r>
        <w:tab/>
      </w:r>
      <w:r>
        <w:tab/>
        <w:t xml:space="preserve">         $   </w:t>
      </w:r>
      <w:r w:rsidR="00B776B9">
        <w:t xml:space="preserve">  </w:t>
      </w:r>
      <w:r w:rsidR="00311AC7">
        <w:t>27,</w:t>
      </w:r>
      <w:r w:rsidR="00C91196">
        <w:t>634</w:t>
      </w:r>
      <w:r w:rsidR="00C91196">
        <w:tab/>
      </w:r>
      <w:r>
        <w:t xml:space="preserve">  </w:t>
      </w:r>
      <w:r w:rsidR="00B776B9">
        <w:tab/>
      </w:r>
      <w:r w:rsidR="00C91196">
        <w:tab/>
      </w:r>
      <w:r w:rsidR="00B776B9">
        <w:t xml:space="preserve">$     </w:t>
      </w:r>
      <w:r w:rsidR="00C91196">
        <w:t>19,474</w:t>
      </w:r>
    </w:p>
    <w:p w14:paraId="5A8D1922" w14:textId="701C551B" w:rsidR="00B776B9" w:rsidRDefault="00B776B9" w:rsidP="007E6394">
      <w:pPr>
        <w:contextualSpacing/>
      </w:pPr>
      <w:r>
        <w:t>Sales Taxes</w:t>
      </w:r>
      <w:r>
        <w:tab/>
      </w:r>
      <w:r>
        <w:tab/>
      </w:r>
      <w:r>
        <w:tab/>
        <w:t xml:space="preserve">         $     </w:t>
      </w:r>
      <w:r w:rsidR="00C91196">
        <w:t>36,939</w:t>
      </w:r>
      <w:r w:rsidR="00C91196">
        <w:tab/>
      </w:r>
      <w:r>
        <w:tab/>
      </w:r>
      <w:r w:rsidR="00C91196">
        <w:tab/>
      </w:r>
      <w:r>
        <w:t xml:space="preserve">$     </w:t>
      </w:r>
      <w:r w:rsidR="00C91196">
        <w:t>67,800</w:t>
      </w:r>
    </w:p>
    <w:p w14:paraId="09F9E6F2" w14:textId="3AE8B4DA" w:rsidR="00C91196" w:rsidRDefault="00C91196" w:rsidP="007E6394">
      <w:pPr>
        <w:contextualSpacing/>
      </w:pPr>
      <w:r>
        <w:t>RV Park</w:t>
      </w:r>
      <w:r>
        <w:tab/>
      </w:r>
      <w:r>
        <w:tab/>
      </w:r>
      <w:r>
        <w:tab/>
        <w:t xml:space="preserve">          $    39,503</w:t>
      </w:r>
      <w:r>
        <w:tab/>
      </w:r>
      <w:r>
        <w:tab/>
      </w:r>
      <w:r>
        <w:tab/>
        <w:t>$     44,121</w:t>
      </w:r>
    </w:p>
    <w:p w14:paraId="42785F2A" w14:textId="5BC63BC3" w:rsidR="00B776B9" w:rsidRPr="00B776B9" w:rsidRDefault="00B776B9" w:rsidP="007E6394">
      <w:pPr>
        <w:contextualSpacing/>
        <w:rPr>
          <w:u w:val="single"/>
        </w:rPr>
      </w:pPr>
      <w:r>
        <w:t>All Other Revenue</w:t>
      </w:r>
      <w:r>
        <w:tab/>
      </w:r>
      <w:r>
        <w:tab/>
      </w:r>
      <w:r w:rsidRPr="00B776B9">
        <w:rPr>
          <w:u w:val="single"/>
        </w:rPr>
        <w:t xml:space="preserve">         $</w:t>
      </w:r>
      <w:r w:rsidRPr="00B776B9">
        <w:rPr>
          <w:u w:val="single"/>
        </w:rPr>
        <w:tab/>
        <w:t xml:space="preserve">  1</w:t>
      </w:r>
      <w:r w:rsidR="00C91196">
        <w:rPr>
          <w:u w:val="single"/>
        </w:rPr>
        <w:t>54,652</w:t>
      </w:r>
      <w:r w:rsidRPr="00B776B9">
        <w:tab/>
      </w:r>
      <w:r w:rsidRPr="00B776B9">
        <w:tab/>
      </w:r>
      <w:r w:rsidRPr="00B776B9">
        <w:rPr>
          <w:u w:val="single"/>
        </w:rPr>
        <w:t xml:space="preserve">         </w:t>
      </w:r>
      <w:r w:rsidR="00BC54B0">
        <w:rPr>
          <w:u w:val="single"/>
        </w:rPr>
        <w:tab/>
      </w:r>
      <w:r w:rsidRPr="00B776B9">
        <w:rPr>
          <w:u w:val="single"/>
        </w:rPr>
        <w:t>$   1</w:t>
      </w:r>
      <w:r w:rsidR="00111234">
        <w:rPr>
          <w:u w:val="single"/>
        </w:rPr>
        <w:t>51,897</w:t>
      </w:r>
    </w:p>
    <w:p w14:paraId="37F4DB15" w14:textId="3AA3B623" w:rsidR="00B776B9" w:rsidRDefault="00B776B9" w:rsidP="007E6394">
      <w:pPr>
        <w:contextualSpacing/>
      </w:pPr>
      <w:r>
        <w:tab/>
        <w:t>Total</w:t>
      </w:r>
      <w:r>
        <w:tab/>
      </w:r>
      <w:r>
        <w:tab/>
      </w:r>
      <w:r>
        <w:tab/>
        <w:t xml:space="preserve">         $1,</w:t>
      </w:r>
      <w:r w:rsidR="00BC54B0">
        <w:t>996,676</w:t>
      </w:r>
      <w:r>
        <w:tab/>
      </w:r>
      <w:r w:rsidR="00BC54B0">
        <w:tab/>
      </w:r>
      <w:r w:rsidR="00BC54B0">
        <w:tab/>
      </w:r>
      <w:r>
        <w:t>$1,</w:t>
      </w:r>
      <w:r w:rsidR="00BC54B0">
        <w:t>8</w:t>
      </w:r>
      <w:r w:rsidR="00111234">
        <w:t>42,510</w:t>
      </w:r>
    </w:p>
    <w:p w14:paraId="67C41788" w14:textId="0426E3C9" w:rsidR="00B776B9" w:rsidRDefault="00716DFE" w:rsidP="007E6394">
      <w:pPr>
        <w:contextualSpacing/>
      </w:pPr>
      <w:r>
        <w:t>Overall,</w:t>
      </w:r>
      <w:r w:rsidR="00BC54B0">
        <w:t xml:space="preserve"> the County is below dollar</w:t>
      </w:r>
      <w:r w:rsidR="00111234">
        <w:t>-</w:t>
      </w:r>
      <w:r w:rsidR="00BC54B0">
        <w:t>to</w:t>
      </w:r>
      <w:r w:rsidR="00111234">
        <w:t>-</w:t>
      </w:r>
      <w:r w:rsidR="00BC54B0">
        <w:t>dollar</w:t>
      </w:r>
      <w:r w:rsidR="00111234">
        <w:t xml:space="preserve"> comparison between the two fiscal years</w:t>
      </w:r>
      <w:r w:rsidR="00BC54B0">
        <w:t xml:space="preserve"> in cash receipts by $15</w:t>
      </w:r>
      <w:r w:rsidR="00111234">
        <w:t>4,166</w:t>
      </w:r>
      <w:r w:rsidR="00BC54B0">
        <w:t xml:space="preserve">.  During the month of </w:t>
      </w:r>
      <w:r>
        <w:t>March,</w:t>
      </w:r>
      <w:r w:rsidR="00BC54B0">
        <w:t xml:space="preserve"> the County Judge and County Treasurer will review the year-to-date collections and compare revenue in relationship to projected expenditures in order to present a budget amendment on April 12</w:t>
      </w:r>
      <w:r w:rsidR="00111234">
        <w:t>, 2021</w:t>
      </w:r>
      <w:r w:rsidR="00BC54B0">
        <w:t xml:space="preserve">.  </w:t>
      </w:r>
    </w:p>
    <w:p w14:paraId="7DB07E56" w14:textId="77777777" w:rsidR="00BC54B0" w:rsidRDefault="00BC54B0" w:rsidP="007E6394">
      <w:pPr>
        <w:contextualSpacing/>
      </w:pPr>
    </w:p>
    <w:p w14:paraId="1D526975" w14:textId="0A18F45F" w:rsidR="00B71F64" w:rsidRDefault="00762AA9" w:rsidP="007E6394">
      <w:pPr>
        <w:contextualSpacing/>
      </w:pPr>
      <w:r>
        <w:t xml:space="preserve">Year to date </w:t>
      </w:r>
      <w:r w:rsidR="008436B3">
        <w:t xml:space="preserve">General Fund </w:t>
      </w:r>
      <w:r>
        <w:t>e</w:t>
      </w:r>
      <w:r w:rsidR="00B71F64">
        <w:t xml:space="preserve">xpenditures for the </w:t>
      </w:r>
      <w:r>
        <w:t>period</w:t>
      </w:r>
      <w:r w:rsidR="00B71F64">
        <w:t xml:space="preserve"> ending </w:t>
      </w:r>
      <w:r w:rsidR="00BC54B0">
        <w:t>2</w:t>
      </w:r>
      <w:r w:rsidR="00B71F64">
        <w:t>-</w:t>
      </w:r>
      <w:r w:rsidR="00BC54B0">
        <w:t>28</w:t>
      </w:r>
      <w:r w:rsidR="00B71F64">
        <w:t>-20</w:t>
      </w:r>
      <w:r>
        <w:t>2</w:t>
      </w:r>
      <w:r w:rsidR="00BC54B0">
        <w:t>1</w:t>
      </w:r>
      <w:r w:rsidR="00B71F64">
        <w:t xml:space="preserve"> total $</w:t>
      </w:r>
      <w:r w:rsidR="008436B3">
        <w:t>1,</w:t>
      </w:r>
      <w:r w:rsidR="00111234">
        <w:t>203,393</w:t>
      </w:r>
      <w:r w:rsidR="00B71F64">
        <w:t xml:space="preserve"> or </w:t>
      </w:r>
      <w:r w:rsidR="00BC54B0">
        <w:t>40</w:t>
      </w:r>
      <w:r w:rsidR="00F3232A">
        <w:t xml:space="preserve">% of </w:t>
      </w:r>
      <w:r w:rsidR="008436B3">
        <w:t>the</w:t>
      </w:r>
      <w:r w:rsidR="00F3232A">
        <w:t xml:space="preserve"> </w:t>
      </w:r>
      <w:r w:rsidR="008436B3">
        <w:t xml:space="preserve">Amended </w:t>
      </w:r>
      <w:r w:rsidR="00BC54B0">
        <w:t>2020-21</w:t>
      </w:r>
      <w:r w:rsidR="00111234">
        <w:t xml:space="preserve"> </w:t>
      </w:r>
      <w:r w:rsidR="008436B3">
        <w:t>B</w:t>
      </w:r>
      <w:r w:rsidR="00F3232A">
        <w:t>udget of $</w:t>
      </w:r>
      <w:r w:rsidR="008436B3">
        <w:t>2,9</w:t>
      </w:r>
      <w:r w:rsidR="00BC54B0">
        <w:t>86,376</w:t>
      </w:r>
      <w:r w:rsidR="00F3232A" w:rsidRPr="00D6193C">
        <w:t xml:space="preserve">.  The department breakdown is shown on the </w:t>
      </w:r>
      <w:r w:rsidR="000A21FF">
        <w:t>second</w:t>
      </w:r>
      <w:r w:rsidR="00F3232A" w:rsidRPr="00D6193C">
        <w:t xml:space="preserve"> schedule for this month’s report.</w:t>
      </w:r>
      <w:r w:rsidR="00F3232A">
        <w:t xml:space="preserve"> </w:t>
      </w:r>
    </w:p>
    <w:p w14:paraId="24E06620" w14:textId="77777777" w:rsidR="00950D6E" w:rsidRPr="00543951" w:rsidRDefault="00950D6E" w:rsidP="007E6394">
      <w:pPr>
        <w:contextualSpacing/>
        <w:rPr>
          <w:sz w:val="20"/>
          <w:szCs w:val="20"/>
        </w:rPr>
      </w:pPr>
    </w:p>
    <w:p w14:paraId="471F3DF0" w14:textId="5983ECB5" w:rsidR="00950D6E" w:rsidRDefault="006C6958" w:rsidP="007E6394">
      <w:pPr>
        <w:contextualSpacing/>
        <w:rPr>
          <w:b/>
          <w:bCs/>
        </w:rPr>
      </w:pPr>
      <w:r w:rsidRPr="006C6958">
        <w:rPr>
          <w:b/>
          <w:bCs/>
        </w:rPr>
        <w:t>Road &amp; Bridge</w:t>
      </w:r>
    </w:p>
    <w:p w14:paraId="351CD237" w14:textId="6E1A2799" w:rsidR="006C6958" w:rsidRPr="006C6958" w:rsidRDefault="006C6958" w:rsidP="007E6394">
      <w:pPr>
        <w:contextualSpacing/>
      </w:pPr>
      <w:r w:rsidRPr="006C6958">
        <w:t>Year to date financial activities for R&amp;B are as follows:</w:t>
      </w:r>
    </w:p>
    <w:p w14:paraId="7C6E0334" w14:textId="13EF66CA" w:rsidR="006C6958" w:rsidRDefault="006C6958" w:rsidP="007E6394">
      <w:pPr>
        <w:contextualSpacing/>
      </w:pPr>
      <w:r>
        <w:rPr>
          <w:b/>
          <w:bCs/>
        </w:rPr>
        <w:tab/>
      </w:r>
      <w:r>
        <w:rPr>
          <w:b/>
          <w:bCs/>
        </w:rPr>
        <w:tab/>
      </w:r>
      <w:r w:rsidRPr="006C6958">
        <w:t>Payroll</w:t>
      </w:r>
      <w:r w:rsidRPr="006C6958">
        <w:tab/>
      </w:r>
      <w:r w:rsidRPr="006C6958">
        <w:tab/>
      </w:r>
      <w:r>
        <w:tab/>
        <w:t>$</w:t>
      </w:r>
      <w:r w:rsidR="00BC54B0">
        <w:t>115,377</w:t>
      </w:r>
    </w:p>
    <w:p w14:paraId="6C9EC86D" w14:textId="357B9EF0" w:rsidR="006C6958" w:rsidRPr="006C6958" w:rsidRDefault="006C6958" w:rsidP="007E6394">
      <w:pPr>
        <w:contextualSpacing/>
        <w:rPr>
          <w:u w:val="single"/>
        </w:rPr>
      </w:pPr>
      <w:r>
        <w:tab/>
      </w:r>
      <w:r>
        <w:tab/>
        <w:t>Operations</w:t>
      </w:r>
      <w:r>
        <w:tab/>
      </w:r>
      <w:r>
        <w:tab/>
      </w:r>
      <w:r w:rsidRPr="006C6958">
        <w:rPr>
          <w:u w:val="single"/>
        </w:rPr>
        <w:t>$</w:t>
      </w:r>
      <w:r w:rsidR="00BF0008">
        <w:rPr>
          <w:u w:val="single"/>
        </w:rPr>
        <w:t xml:space="preserve">  </w:t>
      </w:r>
      <w:r w:rsidR="00BC54B0">
        <w:rPr>
          <w:u w:val="single"/>
        </w:rPr>
        <w:t>5</w:t>
      </w:r>
      <w:r w:rsidR="00111234">
        <w:rPr>
          <w:u w:val="single"/>
        </w:rPr>
        <w:t>7,627</w:t>
      </w:r>
    </w:p>
    <w:p w14:paraId="3CEA5B74" w14:textId="021FB8C3" w:rsidR="006C6958" w:rsidRDefault="006C6958" w:rsidP="007E6394">
      <w:pPr>
        <w:contextualSpacing/>
      </w:pPr>
      <w:r>
        <w:rPr>
          <w:b/>
          <w:bCs/>
        </w:rPr>
        <w:tab/>
      </w:r>
      <w:r>
        <w:rPr>
          <w:b/>
          <w:bCs/>
        </w:rPr>
        <w:tab/>
      </w:r>
      <w:r>
        <w:rPr>
          <w:b/>
          <w:bCs/>
        </w:rPr>
        <w:tab/>
      </w:r>
      <w:r w:rsidRPr="006C6958">
        <w:t>Total Expenses</w:t>
      </w:r>
      <w:r w:rsidRPr="006C6958">
        <w:tab/>
      </w:r>
      <w:r w:rsidRPr="006C6958">
        <w:tab/>
      </w:r>
      <w:r>
        <w:t>$1</w:t>
      </w:r>
      <w:r w:rsidR="00BF0008">
        <w:t>7</w:t>
      </w:r>
      <w:r w:rsidR="00111234">
        <w:t>3,403</w:t>
      </w:r>
    </w:p>
    <w:p w14:paraId="5B992B98" w14:textId="1E2A3C77" w:rsidR="006C6958" w:rsidRPr="00543951" w:rsidRDefault="006C6958" w:rsidP="007E6394">
      <w:pPr>
        <w:contextualSpacing/>
        <w:rPr>
          <w:sz w:val="16"/>
          <w:szCs w:val="16"/>
        </w:rPr>
      </w:pPr>
    </w:p>
    <w:p w14:paraId="555E5754" w14:textId="1425AA02" w:rsidR="006C6958" w:rsidRDefault="006C6958" w:rsidP="007E6394">
      <w:pPr>
        <w:contextualSpacing/>
        <w:rPr>
          <w:u w:val="single"/>
        </w:rPr>
      </w:pPr>
      <w:r>
        <w:tab/>
      </w:r>
      <w:r>
        <w:tab/>
        <w:t>Revenue</w:t>
      </w:r>
      <w:r>
        <w:tab/>
      </w:r>
      <w:r>
        <w:tab/>
      </w:r>
      <w:r>
        <w:tab/>
      </w:r>
      <w:r>
        <w:tab/>
      </w:r>
      <w:r w:rsidRPr="006C6958">
        <w:rPr>
          <w:u w:val="single"/>
        </w:rPr>
        <w:t>$</w:t>
      </w:r>
      <w:r w:rsidR="00BF0008">
        <w:rPr>
          <w:u w:val="single"/>
        </w:rPr>
        <w:t>290,629</w:t>
      </w:r>
    </w:p>
    <w:p w14:paraId="0E307E85" w14:textId="26A3CADB" w:rsidR="006C6958" w:rsidRDefault="006C6958" w:rsidP="007E6394">
      <w:pPr>
        <w:contextualSpacing/>
      </w:pPr>
      <w:r w:rsidRPr="006C6958">
        <w:tab/>
      </w:r>
      <w:r w:rsidRPr="006C6958">
        <w:tab/>
      </w:r>
      <w:r w:rsidR="00BF0008">
        <w:t>Positive Cash Flow</w:t>
      </w:r>
      <w:r>
        <w:tab/>
      </w:r>
      <w:r>
        <w:tab/>
      </w:r>
      <w:r>
        <w:tab/>
        <w:t>$</w:t>
      </w:r>
      <w:r w:rsidR="00BF0008">
        <w:t>11</w:t>
      </w:r>
      <w:r w:rsidR="00111234">
        <w:t>7,626</w:t>
      </w:r>
    </w:p>
    <w:p w14:paraId="127F3A74" w14:textId="4CBB9B4A" w:rsidR="00543951" w:rsidRDefault="00BF0008" w:rsidP="007E6394">
      <w:pPr>
        <w:contextualSpacing/>
      </w:pPr>
      <w:r>
        <w:lastRenderedPageBreak/>
        <w:t xml:space="preserve">During the month, the R&amp;B Crew applied Caliche to Waddell and Ellis with the value of $18,144, and it is hoped that the CTIF Project of $82,493 can be completed by July 31, 2021. </w:t>
      </w:r>
    </w:p>
    <w:p w14:paraId="5441500E" w14:textId="35846C34" w:rsidR="00BF0008" w:rsidRDefault="00BF0008" w:rsidP="007E6394">
      <w:pPr>
        <w:contextualSpacing/>
      </w:pPr>
      <w:r>
        <w:t>Broken down equipment has hindered the Project thus far, especially during the month of January 2021</w:t>
      </w:r>
      <w:r w:rsidR="00426C5E">
        <w:t>.</w:t>
      </w:r>
    </w:p>
    <w:p w14:paraId="3437E959" w14:textId="77777777" w:rsidR="00426C5E" w:rsidRDefault="00426C5E" w:rsidP="007E6394">
      <w:pPr>
        <w:contextualSpacing/>
      </w:pPr>
    </w:p>
    <w:p w14:paraId="633014D8" w14:textId="0ED3A54E" w:rsidR="00543951" w:rsidRDefault="00543951" w:rsidP="007E6394">
      <w:pPr>
        <w:contextualSpacing/>
        <w:rPr>
          <w:b/>
          <w:bCs/>
        </w:rPr>
      </w:pPr>
      <w:r w:rsidRPr="00543951">
        <w:rPr>
          <w:b/>
          <w:bCs/>
        </w:rPr>
        <w:t>Courthouse Restoration</w:t>
      </w:r>
    </w:p>
    <w:p w14:paraId="56EB87C4" w14:textId="77777777" w:rsidR="00543951" w:rsidRDefault="00543951" w:rsidP="007E6394">
      <w:pPr>
        <w:contextualSpacing/>
      </w:pPr>
      <w:r w:rsidRPr="00543951">
        <w:t>Financial Summary</w:t>
      </w:r>
      <w:r>
        <w:t>:</w:t>
      </w:r>
    </w:p>
    <w:p w14:paraId="35982FDD" w14:textId="1DA1290A" w:rsidR="00111234" w:rsidRDefault="00111234" w:rsidP="00186439">
      <w:pPr>
        <w:ind w:left="720" w:firstLine="720"/>
        <w:contextualSpacing/>
      </w:pPr>
      <w:r>
        <w:t>Revenue</w:t>
      </w:r>
      <w:r w:rsidR="00186439">
        <w:tab/>
      </w:r>
      <w:r w:rsidR="00186439">
        <w:tab/>
      </w:r>
      <w:r w:rsidR="00186439">
        <w:tab/>
      </w:r>
      <w:r w:rsidR="00186439">
        <w:tab/>
        <w:t>$366,830</w:t>
      </w:r>
    </w:p>
    <w:p w14:paraId="686E29C5" w14:textId="74A9EA8E" w:rsidR="00543951" w:rsidRPr="00186439" w:rsidRDefault="00543951" w:rsidP="00186439">
      <w:pPr>
        <w:ind w:left="720" w:firstLine="720"/>
        <w:contextualSpacing/>
        <w:rPr>
          <w:u w:val="single"/>
        </w:rPr>
      </w:pPr>
      <w:r w:rsidRPr="00543951">
        <w:t>Total Expenses</w:t>
      </w:r>
      <w:r w:rsidR="00426C5E">
        <w:t xml:space="preserve"> YTD</w:t>
      </w:r>
      <w:r w:rsidR="00426C5E">
        <w:tab/>
      </w:r>
      <w:r>
        <w:tab/>
      </w:r>
      <w:r>
        <w:tab/>
      </w:r>
      <w:r w:rsidRPr="00186439">
        <w:rPr>
          <w:u w:val="single"/>
        </w:rPr>
        <w:t>$</w:t>
      </w:r>
      <w:r w:rsidR="00426C5E" w:rsidRPr="00186439">
        <w:rPr>
          <w:u w:val="single"/>
        </w:rPr>
        <w:t>221,898</w:t>
      </w:r>
    </w:p>
    <w:p w14:paraId="4AF0887F" w14:textId="61F58C32" w:rsidR="00543951" w:rsidRDefault="00543951" w:rsidP="007E6394">
      <w:pPr>
        <w:contextualSpacing/>
      </w:pPr>
      <w:r>
        <w:tab/>
      </w:r>
      <w:r>
        <w:tab/>
      </w:r>
      <w:r w:rsidR="00803B0D">
        <w:t>Cash Flow</w:t>
      </w:r>
      <w:r>
        <w:t xml:space="preserve"> </w:t>
      </w:r>
      <w:r w:rsidR="00426C5E">
        <w:t>Gain</w:t>
      </w:r>
      <w:r w:rsidR="00426C5E">
        <w:tab/>
      </w:r>
      <w:r>
        <w:tab/>
      </w:r>
      <w:r>
        <w:tab/>
        <w:t>$1</w:t>
      </w:r>
      <w:r w:rsidR="00426C5E">
        <w:t>44</w:t>
      </w:r>
      <w:r>
        <w:t>,</w:t>
      </w:r>
      <w:r w:rsidR="00426C5E">
        <w:t>93</w:t>
      </w:r>
      <w:r w:rsidR="00186439">
        <w:t>2</w:t>
      </w:r>
    </w:p>
    <w:p w14:paraId="3F2B5EB5" w14:textId="3140C42E" w:rsidR="00803B0D" w:rsidRPr="00543951" w:rsidRDefault="00803B0D" w:rsidP="007E6394">
      <w:pPr>
        <w:contextualSpacing/>
      </w:pPr>
      <w:r>
        <w:t xml:space="preserve">Courthouse </w:t>
      </w:r>
      <w:r w:rsidR="00426C5E">
        <w:t xml:space="preserve">renovation is complete with the exception of data and phone service installation, which is expected to be completed during March.  </w:t>
      </w:r>
    </w:p>
    <w:p w14:paraId="68795017" w14:textId="24C44997" w:rsidR="00543951" w:rsidRPr="00543951" w:rsidRDefault="00543951" w:rsidP="007E6394">
      <w:pPr>
        <w:contextualSpacing/>
      </w:pPr>
      <w:r w:rsidRPr="00543951">
        <w:t xml:space="preserve"> </w:t>
      </w:r>
    </w:p>
    <w:p w14:paraId="00AFA01C" w14:textId="096BE635" w:rsidR="004A0A98" w:rsidRPr="00426C5E" w:rsidRDefault="00426C5E" w:rsidP="007E6394">
      <w:pPr>
        <w:contextualSpacing/>
        <w:rPr>
          <w:b/>
          <w:bCs/>
        </w:rPr>
      </w:pPr>
      <w:r w:rsidRPr="00426C5E">
        <w:rPr>
          <w:b/>
          <w:bCs/>
        </w:rPr>
        <w:t>Debt Service Fund</w:t>
      </w:r>
    </w:p>
    <w:p w14:paraId="06DB1101" w14:textId="13C34D94" w:rsidR="004A0A98" w:rsidRDefault="00D03BCE" w:rsidP="007E6394">
      <w:pPr>
        <w:contextualSpacing/>
      </w:pPr>
      <w:r>
        <w:t>As discussed last month, the principal and interest requirements for February 2021 exceeded the available cash by $8,175.  This temporary shortfall was covered by other fund resources and it is felt that collections through the remainder of the fiscal year will be adequate to cover our August 2021 debt service needs.  The summary of this year’s financial activity is as follows:</w:t>
      </w:r>
    </w:p>
    <w:p w14:paraId="4683E2C8" w14:textId="4C9FFF74" w:rsidR="00D03BCE" w:rsidRDefault="00D03BCE" w:rsidP="007E6394">
      <w:pPr>
        <w:contextualSpacing/>
      </w:pPr>
    </w:p>
    <w:p w14:paraId="3117D517" w14:textId="73CCA21C" w:rsidR="00D03BCE" w:rsidRDefault="00D03BCE" w:rsidP="007E6394">
      <w:pPr>
        <w:contextualSpacing/>
      </w:pPr>
      <w:r>
        <w:tab/>
      </w:r>
      <w:r>
        <w:tab/>
        <w:t>Beginning Cash Balance 10-01-2020</w:t>
      </w:r>
      <w:r>
        <w:tab/>
      </w:r>
      <w:r>
        <w:tab/>
      </w:r>
      <w:r>
        <w:tab/>
      </w:r>
      <w:r w:rsidR="008946E7">
        <w:t>$    3,290</w:t>
      </w:r>
    </w:p>
    <w:p w14:paraId="782B4252" w14:textId="47834259" w:rsidR="008946E7" w:rsidRDefault="008946E7" w:rsidP="007E6394">
      <w:pPr>
        <w:contextualSpacing/>
        <w:rPr>
          <w:u w:val="single"/>
        </w:rPr>
      </w:pPr>
      <w:r>
        <w:tab/>
      </w:r>
      <w:r>
        <w:tab/>
      </w:r>
      <w:r>
        <w:tab/>
        <w:t>Revenue Thru February 28, 2021</w:t>
      </w:r>
      <w:r>
        <w:tab/>
      </w:r>
      <w:r>
        <w:tab/>
      </w:r>
      <w:r w:rsidRPr="008946E7">
        <w:rPr>
          <w:u w:val="single"/>
        </w:rPr>
        <w:t>$127,459</w:t>
      </w:r>
    </w:p>
    <w:p w14:paraId="11952B86" w14:textId="188FD6F5" w:rsidR="008946E7" w:rsidRDefault="008946E7" w:rsidP="007E6394">
      <w:pPr>
        <w:contextualSpacing/>
      </w:pPr>
      <w:r w:rsidRPr="008946E7">
        <w:tab/>
      </w:r>
      <w:r w:rsidRPr="008946E7">
        <w:tab/>
      </w:r>
      <w:r w:rsidRPr="008946E7">
        <w:tab/>
      </w:r>
      <w:r>
        <w:t>Total Available</w:t>
      </w:r>
      <w:r>
        <w:tab/>
      </w:r>
      <w:r>
        <w:tab/>
      </w:r>
      <w:r>
        <w:tab/>
      </w:r>
      <w:r>
        <w:tab/>
        <w:t>$130,749</w:t>
      </w:r>
    </w:p>
    <w:p w14:paraId="61363CB5" w14:textId="78C3E56F" w:rsidR="008946E7" w:rsidRDefault="008946E7" w:rsidP="007E6394">
      <w:pPr>
        <w:contextualSpacing/>
      </w:pPr>
    </w:p>
    <w:p w14:paraId="0E45D2EE" w14:textId="61EC671C" w:rsidR="008946E7" w:rsidRDefault="008946E7" w:rsidP="007E6394">
      <w:pPr>
        <w:contextualSpacing/>
        <w:rPr>
          <w:u w:val="single"/>
        </w:rPr>
      </w:pPr>
      <w:r>
        <w:tab/>
      </w:r>
      <w:r>
        <w:tab/>
        <w:t>February 2021 Principal &amp; Interest Requirements</w:t>
      </w:r>
      <w:r>
        <w:tab/>
      </w:r>
      <w:r w:rsidRPr="008946E7">
        <w:rPr>
          <w:u w:val="single"/>
        </w:rPr>
        <w:t>$138,924</w:t>
      </w:r>
    </w:p>
    <w:p w14:paraId="453C9715" w14:textId="5D50C3F1" w:rsidR="008946E7" w:rsidRDefault="008946E7" w:rsidP="007E6394">
      <w:pPr>
        <w:contextualSpacing/>
      </w:pPr>
      <w:r w:rsidRPr="008946E7">
        <w:tab/>
      </w:r>
      <w:r w:rsidRPr="008946E7">
        <w:tab/>
      </w:r>
      <w:r>
        <w:t>Ending Cash Balance February 28, 2021</w:t>
      </w:r>
      <w:r>
        <w:tab/>
      </w:r>
      <w:r>
        <w:tab/>
        <w:t>($   8,175)</w:t>
      </w:r>
    </w:p>
    <w:p w14:paraId="7E79E47D" w14:textId="253F9DDA" w:rsidR="008946E7" w:rsidRDefault="008946E7" w:rsidP="007E6394">
      <w:pPr>
        <w:contextualSpacing/>
      </w:pPr>
    </w:p>
    <w:p w14:paraId="14977337" w14:textId="2685A90E" w:rsidR="008946E7" w:rsidRDefault="00186439" w:rsidP="007E6394">
      <w:pPr>
        <w:contextualSpacing/>
        <w:rPr>
          <w:b/>
          <w:bCs/>
        </w:rPr>
      </w:pPr>
      <w:r w:rsidRPr="00186439">
        <w:rPr>
          <w:b/>
          <w:bCs/>
        </w:rPr>
        <w:t>County Wide</w:t>
      </w:r>
    </w:p>
    <w:p w14:paraId="70B354B3" w14:textId="59F9EA4B" w:rsidR="00186439" w:rsidRPr="00186439" w:rsidRDefault="00186439" w:rsidP="007E6394">
      <w:pPr>
        <w:contextualSpacing/>
      </w:pPr>
      <w:r w:rsidRPr="00186439">
        <w:t>Overall receipts for all fund groups Menard County has received $2,675,545 and expensed $1,771,390 to produce a positive cash flow for the fiscal year to date of $904,155.</w:t>
      </w:r>
    </w:p>
    <w:sectPr w:rsidR="00186439" w:rsidRPr="001864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FE664" w14:textId="77777777" w:rsidR="004A0A98" w:rsidRDefault="004A0A98" w:rsidP="004A0A98">
      <w:pPr>
        <w:spacing w:after="0" w:line="240" w:lineRule="auto"/>
      </w:pPr>
      <w:r>
        <w:separator/>
      </w:r>
    </w:p>
  </w:endnote>
  <w:endnote w:type="continuationSeparator" w:id="0">
    <w:p w14:paraId="0B7E5E5C" w14:textId="77777777" w:rsidR="004A0A98" w:rsidRDefault="004A0A98" w:rsidP="004A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255611"/>
      <w:docPartObj>
        <w:docPartGallery w:val="Page Numbers (Bottom of Page)"/>
        <w:docPartUnique/>
      </w:docPartObj>
    </w:sdtPr>
    <w:sdtEndPr>
      <w:rPr>
        <w:noProof/>
      </w:rPr>
    </w:sdtEndPr>
    <w:sdtContent>
      <w:p w14:paraId="3255E5B8" w14:textId="3F49C352" w:rsidR="004A0A98" w:rsidRDefault="004A0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2F4E6" w14:textId="77777777" w:rsidR="004A0A98" w:rsidRDefault="004A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CA26A" w14:textId="77777777" w:rsidR="004A0A98" w:rsidRDefault="004A0A98" w:rsidP="004A0A98">
      <w:pPr>
        <w:spacing w:after="0" w:line="240" w:lineRule="auto"/>
      </w:pPr>
      <w:r>
        <w:separator/>
      </w:r>
    </w:p>
  </w:footnote>
  <w:footnote w:type="continuationSeparator" w:id="0">
    <w:p w14:paraId="3F24CB8F" w14:textId="77777777" w:rsidR="004A0A98" w:rsidRDefault="004A0A98" w:rsidP="004A0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94"/>
    <w:rsid w:val="000213B6"/>
    <w:rsid w:val="00053DE7"/>
    <w:rsid w:val="000972EC"/>
    <w:rsid w:val="000A21FF"/>
    <w:rsid w:val="000B5ACD"/>
    <w:rsid w:val="000D38DC"/>
    <w:rsid w:val="00111234"/>
    <w:rsid w:val="00113CF2"/>
    <w:rsid w:val="001207AE"/>
    <w:rsid w:val="001859CA"/>
    <w:rsid w:val="00186439"/>
    <w:rsid w:val="001A1985"/>
    <w:rsid w:val="001C6A28"/>
    <w:rsid w:val="001E577C"/>
    <w:rsid w:val="00282452"/>
    <w:rsid w:val="002C5CD3"/>
    <w:rsid w:val="002F1DC7"/>
    <w:rsid w:val="00311AC7"/>
    <w:rsid w:val="00326416"/>
    <w:rsid w:val="003A55D3"/>
    <w:rsid w:val="003B13EF"/>
    <w:rsid w:val="003C32D7"/>
    <w:rsid w:val="003D0AE2"/>
    <w:rsid w:val="004217F3"/>
    <w:rsid w:val="00426C5E"/>
    <w:rsid w:val="00446B43"/>
    <w:rsid w:val="004A0A98"/>
    <w:rsid w:val="004F3423"/>
    <w:rsid w:val="00543951"/>
    <w:rsid w:val="005A1C0F"/>
    <w:rsid w:val="005E5CE1"/>
    <w:rsid w:val="005F7C9C"/>
    <w:rsid w:val="00621221"/>
    <w:rsid w:val="00621A4D"/>
    <w:rsid w:val="006273EB"/>
    <w:rsid w:val="00672F37"/>
    <w:rsid w:val="006A2655"/>
    <w:rsid w:val="006C01BB"/>
    <w:rsid w:val="006C6958"/>
    <w:rsid w:val="006C7D40"/>
    <w:rsid w:val="00716DFE"/>
    <w:rsid w:val="00762AA9"/>
    <w:rsid w:val="007901AB"/>
    <w:rsid w:val="00796C74"/>
    <w:rsid w:val="007E6394"/>
    <w:rsid w:val="00803B0D"/>
    <w:rsid w:val="0083700B"/>
    <w:rsid w:val="008436B3"/>
    <w:rsid w:val="00866373"/>
    <w:rsid w:val="008946E7"/>
    <w:rsid w:val="008C1315"/>
    <w:rsid w:val="008F2B2A"/>
    <w:rsid w:val="00931E6D"/>
    <w:rsid w:val="00932F7A"/>
    <w:rsid w:val="00950D6E"/>
    <w:rsid w:val="0096050A"/>
    <w:rsid w:val="00972B65"/>
    <w:rsid w:val="0098686F"/>
    <w:rsid w:val="00A048CB"/>
    <w:rsid w:val="00A33F80"/>
    <w:rsid w:val="00A448B2"/>
    <w:rsid w:val="00A64DC1"/>
    <w:rsid w:val="00A9216D"/>
    <w:rsid w:val="00AA1AA6"/>
    <w:rsid w:val="00B232B5"/>
    <w:rsid w:val="00B71F64"/>
    <w:rsid w:val="00B776B9"/>
    <w:rsid w:val="00B9151B"/>
    <w:rsid w:val="00BC54B0"/>
    <w:rsid w:val="00BE2B97"/>
    <w:rsid w:val="00BF0008"/>
    <w:rsid w:val="00C065DB"/>
    <w:rsid w:val="00C4538E"/>
    <w:rsid w:val="00C82168"/>
    <w:rsid w:val="00C91196"/>
    <w:rsid w:val="00C93D23"/>
    <w:rsid w:val="00CA323A"/>
    <w:rsid w:val="00CA6234"/>
    <w:rsid w:val="00CF4B8D"/>
    <w:rsid w:val="00D03BCE"/>
    <w:rsid w:val="00D20DF1"/>
    <w:rsid w:val="00D342E3"/>
    <w:rsid w:val="00D6193C"/>
    <w:rsid w:val="00D62665"/>
    <w:rsid w:val="00D736F4"/>
    <w:rsid w:val="00D91A92"/>
    <w:rsid w:val="00DC5F0C"/>
    <w:rsid w:val="00F10C74"/>
    <w:rsid w:val="00F32060"/>
    <w:rsid w:val="00F3232A"/>
    <w:rsid w:val="00F734FB"/>
    <w:rsid w:val="00FC336A"/>
    <w:rsid w:val="00FD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759"/>
  <w15:docId w15:val="{BB7470B1-9738-4547-9FB8-D6BCB63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72F37"/>
    <w:pPr>
      <w:spacing w:after="0" w:line="240" w:lineRule="auto"/>
    </w:pPr>
    <w:rPr>
      <w:rFonts w:ascii="SimHei" w:eastAsia="SimHei" w:hAnsi="SimHei" w:cstheme="majorBidi"/>
      <w:szCs w:val="20"/>
    </w:rPr>
  </w:style>
  <w:style w:type="paragraph" w:styleId="Header">
    <w:name w:val="header"/>
    <w:basedOn w:val="Normal"/>
    <w:link w:val="HeaderChar"/>
    <w:uiPriority w:val="99"/>
    <w:unhideWhenUsed/>
    <w:rsid w:val="004A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A98"/>
  </w:style>
  <w:style w:type="paragraph" w:styleId="Footer">
    <w:name w:val="footer"/>
    <w:basedOn w:val="Normal"/>
    <w:link w:val="FooterChar"/>
    <w:uiPriority w:val="99"/>
    <w:unhideWhenUsed/>
    <w:rsid w:val="004A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98"/>
  </w:style>
  <w:style w:type="paragraph" w:styleId="BalloonText">
    <w:name w:val="Balloon Text"/>
    <w:basedOn w:val="Normal"/>
    <w:link w:val="BalloonTextChar"/>
    <w:uiPriority w:val="99"/>
    <w:semiHidden/>
    <w:unhideWhenUsed/>
    <w:rsid w:val="004A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Ron Wood</cp:lastModifiedBy>
  <cp:revision>4</cp:revision>
  <cp:lastPrinted>2021-02-27T15:40:00Z</cp:lastPrinted>
  <dcterms:created xsi:type="dcterms:W3CDTF">2021-02-26T17:17:00Z</dcterms:created>
  <dcterms:modified xsi:type="dcterms:W3CDTF">2021-02-27T15:41:00Z</dcterms:modified>
</cp:coreProperties>
</file>